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ABF4B" w14:textId="59A01103" w:rsidR="00CB7419" w:rsidRPr="00D90583" w:rsidRDefault="00DA4708" w:rsidP="00D90583">
      <w:pPr>
        <w:pStyle w:val="BodyText"/>
        <w:rPr>
          <w:b/>
          <w:bCs/>
        </w:rPr>
      </w:pPr>
      <w:r>
        <w:rPr>
          <w:b/>
          <w:bCs/>
        </w:rPr>
        <w:tab/>
      </w:r>
      <w:r>
        <w:rPr>
          <w:b/>
          <w:bCs/>
        </w:rPr>
        <w:tab/>
      </w:r>
      <w:r>
        <w:rPr>
          <w:b/>
          <w:bCs/>
        </w:rPr>
        <w:tab/>
      </w:r>
      <w:r>
        <w:rPr>
          <w:b/>
          <w:bCs/>
        </w:rPr>
        <w:tab/>
      </w:r>
      <w:r>
        <w:rPr>
          <w:b/>
          <w:bCs/>
        </w:rPr>
        <w:tab/>
      </w:r>
      <w:r w:rsidR="00CB7419" w:rsidRPr="00D90583">
        <w:rPr>
          <w:b/>
          <w:bCs/>
        </w:rPr>
        <w:t xml:space="preserve">DOCKET NO. </w:t>
      </w:r>
      <w:r w:rsidR="002B43E1">
        <w:rPr>
          <w:b/>
          <w:bCs/>
        </w:rPr>
        <w:t>51973</w:t>
      </w:r>
    </w:p>
    <w:p w14:paraId="540EBEEC" w14:textId="5CE0853D" w:rsidR="00D90583" w:rsidRDefault="00D90583" w:rsidP="00D90583">
      <w:pPr>
        <w:pStyle w:val="BodyText"/>
      </w:pPr>
    </w:p>
    <w:p w14:paraId="2C645D3D" w14:textId="77777777" w:rsidR="00AC5850" w:rsidRDefault="00AC5850" w:rsidP="00D90583">
      <w:pPr>
        <w:pStyle w:val="BodyText"/>
      </w:pPr>
    </w:p>
    <w:p w14:paraId="78B4CCD2" w14:textId="77777777" w:rsidR="00AC5850" w:rsidRDefault="00CB7419" w:rsidP="00AC5850">
      <w:pPr>
        <w:pStyle w:val="BodyText"/>
      </w:pPr>
      <w:r>
        <w:t xml:space="preserve">Petition of </w:t>
      </w:r>
      <w:r w:rsidR="00AC5850">
        <w:t xml:space="preserve">Rodney Earl </w:t>
      </w:r>
      <w:proofErr w:type="spellStart"/>
      <w:r w:rsidR="00AC5850">
        <w:t>Mohnke</w:t>
      </w:r>
      <w:proofErr w:type="spellEnd"/>
      <w:r w:rsidR="00AC5850">
        <w:t>, et al</w:t>
      </w:r>
      <w:r>
        <w:t xml:space="preserve"> to Amend</w:t>
      </w:r>
      <w:r>
        <w:tab/>
        <w:t xml:space="preserve">   </w:t>
      </w:r>
      <w:r w:rsidR="00AC5850">
        <w:t xml:space="preserve">   </w:t>
      </w:r>
      <w:r>
        <w:t xml:space="preserve">*               Before the Public Utility </w:t>
      </w:r>
      <w:r w:rsidR="00AC5850">
        <w:t>Commission</w:t>
      </w:r>
      <w:r w:rsidR="00AC5850">
        <w:tab/>
      </w:r>
    </w:p>
    <w:p w14:paraId="097F0DE6" w14:textId="77777777" w:rsidR="00AC5850" w:rsidRDefault="00AC5850" w:rsidP="00AC5850">
      <w:pPr>
        <w:pStyle w:val="BodyText"/>
      </w:pPr>
    </w:p>
    <w:p w14:paraId="17CD865F" w14:textId="1CF066CA" w:rsidR="00CB7419" w:rsidRDefault="00AC5850" w:rsidP="00AC5850">
      <w:pPr>
        <w:pStyle w:val="BodyText"/>
      </w:pPr>
      <w:r>
        <w:t xml:space="preserve">  Water Certificate of Convenience and</w:t>
      </w:r>
      <w:r>
        <w:tab/>
      </w:r>
      <w:r>
        <w:tab/>
        <w:t xml:space="preserve">      *</w:t>
      </w:r>
      <w:r>
        <w:tab/>
      </w:r>
      <w:r>
        <w:tab/>
        <w:t>of the State of Texas</w:t>
      </w:r>
      <w:r>
        <w:tab/>
      </w:r>
      <w:r>
        <w:tab/>
      </w:r>
      <w:r>
        <w:tab/>
      </w:r>
      <w:r>
        <w:tab/>
      </w:r>
      <w:r>
        <w:tab/>
      </w:r>
      <w:r>
        <w:tab/>
      </w:r>
      <w:r>
        <w:tab/>
      </w:r>
      <w:r>
        <w:tab/>
      </w:r>
    </w:p>
    <w:p w14:paraId="6F839551" w14:textId="1140E14F" w:rsidR="00D90583" w:rsidRDefault="00AC5850" w:rsidP="00AC5850">
      <w:pPr>
        <w:pStyle w:val="BodyText"/>
      </w:pPr>
      <w:r>
        <w:t xml:space="preserve">  Necessity of HMW Special Utility District</w:t>
      </w:r>
      <w:r>
        <w:tab/>
        <w:t xml:space="preserve">      *</w:t>
      </w:r>
    </w:p>
    <w:p w14:paraId="5782FA10" w14:textId="04115616" w:rsidR="00CB7419" w:rsidRDefault="00CB7419" w:rsidP="00AC5850">
      <w:pPr>
        <w:pStyle w:val="BodyText"/>
        <w:spacing w:line="120" w:lineRule="auto"/>
      </w:pPr>
    </w:p>
    <w:p w14:paraId="3843EC0D" w14:textId="77777777" w:rsidR="00B5772F" w:rsidRDefault="00AC5850" w:rsidP="00B5772F">
      <w:pPr>
        <w:pStyle w:val="BodyText"/>
      </w:pPr>
      <w:r>
        <w:t xml:space="preserve">  By Expedited Release</w:t>
      </w:r>
      <w:r>
        <w:tab/>
      </w:r>
      <w:r>
        <w:tab/>
      </w:r>
      <w:r>
        <w:tab/>
      </w:r>
      <w:r>
        <w:tab/>
        <w:t xml:space="preserve">      *</w:t>
      </w:r>
    </w:p>
    <w:p w14:paraId="04DFB614" w14:textId="77777777" w:rsidR="00B5772F" w:rsidRDefault="00B5772F" w:rsidP="00B5772F">
      <w:pPr>
        <w:pStyle w:val="BodyText"/>
      </w:pPr>
    </w:p>
    <w:p w14:paraId="5D6DB2DC" w14:textId="4A9199E5" w:rsidR="00720972" w:rsidRPr="00B5772F" w:rsidRDefault="00B5772F" w:rsidP="00B5772F">
      <w:pPr>
        <w:pStyle w:val="BodyText"/>
      </w:pPr>
      <w:r>
        <w:tab/>
      </w:r>
      <w:r>
        <w:tab/>
      </w:r>
      <w:r>
        <w:tab/>
      </w:r>
      <w:r w:rsidR="00410DF6">
        <w:rPr>
          <w:b/>
          <w:bCs/>
          <w:u w:val="single"/>
        </w:rPr>
        <w:t>Memorandum on Petitioners’ Reply to Motion to Compel</w:t>
      </w:r>
    </w:p>
    <w:p w14:paraId="1F0BDD28" w14:textId="77777777" w:rsidR="00D90583" w:rsidRPr="00D90583" w:rsidRDefault="00D90583" w:rsidP="00720972">
      <w:pPr>
        <w:pStyle w:val="BodyText"/>
        <w:spacing w:line="249" w:lineRule="auto"/>
        <w:ind w:right="455"/>
        <w:jc w:val="both"/>
        <w:rPr>
          <w:u w:val="single"/>
        </w:rPr>
      </w:pPr>
    </w:p>
    <w:p w14:paraId="7B4E390A" w14:textId="7BBABB86" w:rsidR="00DA5BFF" w:rsidRDefault="0017560E" w:rsidP="0017560E">
      <w:pPr>
        <w:pStyle w:val="BodyText"/>
        <w:spacing w:line="501" w:lineRule="auto"/>
        <w:ind w:right="274" w:firstLine="720"/>
        <w:jc w:val="both"/>
        <w:rPr>
          <w:color w:val="232323"/>
        </w:rPr>
      </w:pPr>
      <w:r>
        <w:rPr>
          <w:color w:val="232323"/>
        </w:rPr>
        <w:t xml:space="preserve">Comes now </w:t>
      </w:r>
      <w:r w:rsidR="00D90583">
        <w:rPr>
          <w:color w:val="232323"/>
        </w:rPr>
        <w:t>the HMW Special Utility District of Harris and Mo</w:t>
      </w:r>
      <w:r w:rsidR="004F0EB5">
        <w:rPr>
          <w:color w:val="232323"/>
        </w:rPr>
        <w:t>n</w:t>
      </w:r>
      <w:r w:rsidR="00D90583">
        <w:rPr>
          <w:color w:val="232323"/>
        </w:rPr>
        <w:t>tgomery Counties</w:t>
      </w:r>
      <w:r w:rsidR="004F0EB5">
        <w:rPr>
          <w:color w:val="232323"/>
        </w:rPr>
        <w:t>(“HMW”)</w:t>
      </w:r>
      <w:r>
        <w:rPr>
          <w:color w:val="232323"/>
        </w:rPr>
        <w:t xml:space="preserve">, filing its </w:t>
      </w:r>
      <w:r w:rsidR="00410DF6">
        <w:rPr>
          <w:color w:val="232323"/>
        </w:rPr>
        <w:t>Memorandum on Petitioners’ Motion to Compel and other issues, and states as follows:</w:t>
      </w:r>
      <w:r w:rsidR="00720972">
        <w:rPr>
          <w:color w:val="232323"/>
        </w:rPr>
        <w:t xml:space="preserve"> </w:t>
      </w:r>
    </w:p>
    <w:p w14:paraId="5CA723DA" w14:textId="2F8DE8BA" w:rsidR="0017560E" w:rsidRDefault="00C755F6" w:rsidP="00C755F6">
      <w:pPr>
        <w:pStyle w:val="BodyText"/>
        <w:spacing w:line="501" w:lineRule="auto"/>
        <w:ind w:right="274"/>
        <w:jc w:val="both"/>
        <w:rPr>
          <w:w w:val="105"/>
        </w:rPr>
      </w:pPr>
      <w:r>
        <w:rPr>
          <w:w w:val="105"/>
        </w:rPr>
        <w:tab/>
      </w:r>
      <w:r>
        <w:rPr>
          <w:w w:val="105"/>
        </w:rPr>
        <w:tab/>
      </w:r>
      <w:r>
        <w:rPr>
          <w:w w:val="105"/>
        </w:rPr>
        <w:tab/>
      </w:r>
      <w:r>
        <w:rPr>
          <w:w w:val="105"/>
        </w:rPr>
        <w:tab/>
      </w:r>
      <w:r>
        <w:rPr>
          <w:w w:val="105"/>
        </w:rPr>
        <w:tab/>
      </w:r>
      <w:r>
        <w:rPr>
          <w:w w:val="105"/>
        </w:rPr>
        <w:tab/>
        <w:t>I.</w:t>
      </w:r>
    </w:p>
    <w:p w14:paraId="04C31EEE" w14:textId="5AFF9CFB" w:rsidR="00B5772F" w:rsidRDefault="00C755F6" w:rsidP="00C300F4">
      <w:pPr>
        <w:pStyle w:val="BodyText"/>
        <w:spacing w:line="501" w:lineRule="auto"/>
        <w:ind w:right="274"/>
        <w:jc w:val="both"/>
        <w:rPr>
          <w:w w:val="105"/>
        </w:rPr>
      </w:pPr>
      <w:r>
        <w:rPr>
          <w:w w:val="105"/>
        </w:rPr>
        <w:tab/>
      </w:r>
      <w:r w:rsidR="00C300F4">
        <w:rPr>
          <w:w w:val="105"/>
        </w:rPr>
        <w:t xml:space="preserve">With one exception, </w:t>
      </w:r>
      <w:r w:rsidR="00410DF6">
        <w:rPr>
          <w:w w:val="105"/>
        </w:rPr>
        <w:t xml:space="preserve">HMW will not </w:t>
      </w:r>
      <w:r w:rsidR="00C300F4">
        <w:rPr>
          <w:w w:val="105"/>
        </w:rPr>
        <w:t>belabor the arguments set forth in its pleadings, and</w:t>
      </w:r>
    </w:p>
    <w:p w14:paraId="03D5295C" w14:textId="7E62596D" w:rsidR="00D35C81" w:rsidRDefault="00D35C81" w:rsidP="00C755F6">
      <w:pPr>
        <w:pStyle w:val="BodyText"/>
        <w:spacing w:line="501" w:lineRule="auto"/>
        <w:ind w:right="274"/>
        <w:jc w:val="both"/>
        <w:rPr>
          <w:w w:val="105"/>
        </w:rPr>
      </w:pPr>
      <w:r>
        <w:rPr>
          <w:w w:val="105"/>
        </w:rPr>
        <w:t>adopts by reference the points set forth in its Response to Motion to Compel</w:t>
      </w:r>
      <w:r w:rsidR="0004216D">
        <w:rPr>
          <w:w w:val="105"/>
        </w:rPr>
        <w:t xml:space="preserve"> regarding the finality of PUC orders</w:t>
      </w:r>
      <w:r w:rsidR="003E1CD8">
        <w:rPr>
          <w:w w:val="105"/>
        </w:rPr>
        <w:t xml:space="preserve">. </w:t>
      </w:r>
    </w:p>
    <w:p w14:paraId="1E0D9ED0" w14:textId="3B174258" w:rsidR="00C300F4" w:rsidRDefault="00C300F4" w:rsidP="00C755F6">
      <w:pPr>
        <w:pStyle w:val="BodyText"/>
        <w:spacing w:line="501" w:lineRule="auto"/>
        <w:ind w:right="274"/>
        <w:jc w:val="both"/>
        <w:rPr>
          <w:w w:val="105"/>
        </w:rPr>
      </w:pPr>
      <w:r>
        <w:rPr>
          <w:w w:val="105"/>
        </w:rPr>
        <w:tab/>
      </w:r>
      <w:r>
        <w:rPr>
          <w:w w:val="105"/>
        </w:rPr>
        <w:tab/>
      </w:r>
      <w:r>
        <w:rPr>
          <w:w w:val="105"/>
        </w:rPr>
        <w:tab/>
      </w:r>
      <w:r>
        <w:rPr>
          <w:w w:val="105"/>
        </w:rPr>
        <w:tab/>
      </w:r>
      <w:r>
        <w:rPr>
          <w:w w:val="105"/>
        </w:rPr>
        <w:tab/>
      </w:r>
      <w:r>
        <w:rPr>
          <w:w w:val="105"/>
        </w:rPr>
        <w:tab/>
        <w:t>II.</w:t>
      </w:r>
    </w:p>
    <w:p w14:paraId="0658F739" w14:textId="727674CE" w:rsidR="00C300F4" w:rsidRDefault="00C300F4" w:rsidP="00C755F6">
      <w:pPr>
        <w:pStyle w:val="BodyText"/>
        <w:spacing w:line="501" w:lineRule="auto"/>
        <w:ind w:right="274"/>
        <w:jc w:val="both"/>
        <w:rPr>
          <w:w w:val="105"/>
        </w:rPr>
      </w:pPr>
      <w:r>
        <w:rPr>
          <w:w w:val="105"/>
        </w:rPr>
        <w:tab/>
        <w:t xml:space="preserve">The exception is </w:t>
      </w:r>
      <w:r w:rsidR="00A71B38">
        <w:rPr>
          <w:w w:val="105"/>
        </w:rPr>
        <w:t xml:space="preserve">HMW’s further response to </w:t>
      </w:r>
      <w:r>
        <w:rPr>
          <w:w w:val="105"/>
        </w:rPr>
        <w:t>the Peti</w:t>
      </w:r>
      <w:r w:rsidR="00A71B38">
        <w:rPr>
          <w:w w:val="105"/>
        </w:rPr>
        <w:t>ti</w:t>
      </w:r>
      <w:r>
        <w:rPr>
          <w:w w:val="105"/>
        </w:rPr>
        <w:t>oners’ continued belief that the full Commission has ruled on the question of compensation, and thus has entered</w:t>
      </w:r>
      <w:r w:rsidR="00A71B38">
        <w:rPr>
          <w:w w:val="105"/>
        </w:rPr>
        <w:t xml:space="preserve"> </w:t>
      </w:r>
      <w:r>
        <w:rPr>
          <w:w w:val="105"/>
        </w:rPr>
        <w:t>a final order in this case.</w:t>
      </w:r>
    </w:p>
    <w:p w14:paraId="36286C15" w14:textId="4239D26E" w:rsidR="00A71B38" w:rsidRDefault="00A71B38" w:rsidP="00C755F6">
      <w:pPr>
        <w:pStyle w:val="BodyText"/>
        <w:spacing w:line="501" w:lineRule="auto"/>
        <w:ind w:right="274"/>
        <w:jc w:val="both"/>
        <w:rPr>
          <w:w w:val="105"/>
        </w:rPr>
      </w:pPr>
      <w:r>
        <w:rPr>
          <w:w w:val="105"/>
        </w:rPr>
        <w:tab/>
        <w:t>The requirements for finality are set forth in Government Code 2001.144-146 and 2001.176. To date, they have not been followed by the ALJ or the full Commission.</w:t>
      </w:r>
    </w:p>
    <w:p w14:paraId="3F4AA665" w14:textId="3BDD06A4" w:rsidR="00A71B38" w:rsidRDefault="00A71B38" w:rsidP="00C755F6">
      <w:pPr>
        <w:pStyle w:val="BodyText"/>
        <w:spacing w:line="501" w:lineRule="auto"/>
        <w:ind w:right="274"/>
        <w:jc w:val="both"/>
        <w:rPr>
          <w:w w:val="105"/>
        </w:rPr>
      </w:pPr>
      <w:r>
        <w:rPr>
          <w:w w:val="105"/>
        </w:rPr>
        <w:tab/>
      </w:r>
      <w:r>
        <w:rPr>
          <w:w w:val="105"/>
        </w:rPr>
        <w:tab/>
      </w:r>
      <w:r>
        <w:rPr>
          <w:w w:val="105"/>
        </w:rPr>
        <w:tab/>
      </w:r>
      <w:r>
        <w:rPr>
          <w:w w:val="105"/>
        </w:rPr>
        <w:tab/>
      </w:r>
      <w:r>
        <w:rPr>
          <w:w w:val="105"/>
        </w:rPr>
        <w:tab/>
      </w:r>
      <w:r>
        <w:rPr>
          <w:w w:val="105"/>
        </w:rPr>
        <w:tab/>
        <w:t>III.</w:t>
      </w:r>
    </w:p>
    <w:p w14:paraId="29549AAB" w14:textId="22E769C5" w:rsidR="00A71B38" w:rsidRDefault="00A71B38" w:rsidP="00C755F6">
      <w:pPr>
        <w:pStyle w:val="BodyText"/>
        <w:spacing w:line="501" w:lineRule="auto"/>
        <w:ind w:right="274"/>
        <w:jc w:val="both"/>
        <w:rPr>
          <w:w w:val="105"/>
        </w:rPr>
      </w:pPr>
      <w:r>
        <w:rPr>
          <w:w w:val="105"/>
        </w:rPr>
        <w:tab/>
        <w:t xml:space="preserve">More importantly, it is inconceivable that </w:t>
      </w:r>
      <w:r w:rsidR="00945344">
        <w:rPr>
          <w:w w:val="105"/>
        </w:rPr>
        <w:t xml:space="preserve">Petitioners’ assert that </w:t>
      </w:r>
      <w:r>
        <w:rPr>
          <w:w w:val="105"/>
        </w:rPr>
        <w:t>the issue of compensation is now final</w:t>
      </w:r>
      <w:r w:rsidR="00945344">
        <w:rPr>
          <w:w w:val="105"/>
        </w:rPr>
        <w:t xml:space="preserve">, given that the Commission order on decertification made no reference to it other than to say it would deal with it by a separate order. The compensation issue is a major consideration in the statute that </w:t>
      </w:r>
      <w:r w:rsidR="00561B50">
        <w:rPr>
          <w:w w:val="105"/>
        </w:rPr>
        <w:t>provides for compensating the decertification of CCN’s. It is unthinkable that the ALJ or the Commission itself would avoid its duty to rule on an issue fundamental to the statute it purports to enforce.</w:t>
      </w:r>
    </w:p>
    <w:p w14:paraId="2BB3C0E2" w14:textId="721888F3" w:rsidR="001E2B34" w:rsidRDefault="001E2B34" w:rsidP="00C755F6">
      <w:pPr>
        <w:pStyle w:val="BodyText"/>
        <w:spacing w:line="501" w:lineRule="auto"/>
        <w:ind w:right="274"/>
        <w:jc w:val="both"/>
        <w:rPr>
          <w:w w:val="105"/>
        </w:rPr>
      </w:pPr>
      <w:r>
        <w:rPr>
          <w:w w:val="105"/>
        </w:rPr>
        <w:lastRenderedPageBreak/>
        <w:tab/>
        <w:t xml:space="preserve">Wherefore, premises considered, Respondent prays that the ALJ </w:t>
      </w:r>
      <w:r w:rsidR="00561B50">
        <w:rPr>
          <w:w w:val="105"/>
        </w:rPr>
        <w:t xml:space="preserve">deny the Motion to Compel and </w:t>
      </w:r>
      <w:r>
        <w:rPr>
          <w:w w:val="105"/>
        </w:rPr>
        <w:t>clarify its order as requested, that all parties be advised of the date of Consideration by the Commission of the ALJ’s findings on compensation, and for other and further relief as appropriate.</w:t>
      </w:r>
    </w:p>
    <w:p w14:paraId="0956328A" w14:textId="77777777" w:rsidR="00DA4708" w:rsidRPr="00DA4708" w:rsidRDefault="00DA4708" w:rsidP="00DA4708">
      <w:pPr>
        <w:pStyle w:val="BodyText"/>
        <w:ind w:left="720"/>
        <w:rPr>
          <w:w w:val="105"/>
        </w:rPr>
      </w:pPr>
    </w:p>
    <w:p w14:paraId="16C6FBF0" w14:textId="7827722B" w:rsidR="00DA2A12" w:rsidRDefault="00ED256C" w:rsidP="004F0EB5">
      <w:pPr>
        <w:pStyle w:val="BodyText"/>
        <w:ind w:left="4320" w:firstLine="720"/>
      </w:pPr>
      <w:r>
        <w:t>Respectfully submitted,</w:t>
      </w:r>
    </w:p>
    <w:p w14:paraId="2A12B766" w14:textId="77777777" w:rsidR="004F0EB5" w:rsidRDefault="00ED256C" w:rsidP="004F0EB5">
      <w:pPr>
        <w:pStyle w:val="BodyText"/>
      </w:pPr>
      <w:r>
        <w:tab/>
      </w:r>
      <w:r>
        <w:tab/>
      </w:r>
      <w:r>
        <w:tab/>
      </w:r>
      <w:r>
        <w:tab/>
      </w:r>
      <w:r>
        <w:tab/>
      </w:r>
      <w:r>
        <w:tab/>
      </w:r>
      <w:r>
        <w:tab/>
      </w:r>
    </w:p>
    <w:p w14:paraId="675B8F27" w14:textId="54DC7F76" w:rsidR="00ED256C" w:rsidRDefault="00ED256C" w:rsidP="004F0EB5">
      <w:pPr>
        <w:pStyle w:val="BodyText"/>
        <w:ind w:left="4320" w:firstLine="720"/>
      </w:pPr>
      <w:r>
        <w:t>Law Offices of Patrick F. Timmons, Jr., P.C.</w:t>
      </w:r>
    </w:p>
    <w:p w14:paraId="503715AD" w14:textId="4D1D1EDB" w:rsidR="00ED256C" w:rsidRDefault="00ED256C" w:rsidP="004F0EB5">
      <w:pPr>
        <w:pStyle w:val="BodyText"/>
      </w:pPr>
    </w:p>
    <w:p w14:paraId="3B821DB4" w14:textId="4E67E172" w:rsidR="002B43E1" w:rsidRDefault="00D35C81" w:rsidP="004F0EB5">
      <w:pPr>
        <w:pStyle w:val="BodyText"/>
      </w:pPr>
      <w:r>
        <w:tab/>
      </w:r>
      <w:r>
        <w:tab/>
      </w:r>
      <w:r>
        <w:tab/>
      </w:r>
      <w:r>
        <w:tab/>
      </w:r>
      <w:r>
        <w:tab/>
      </w:r>
      <w:r>
        <w:tab/>
      </w:r>
      <w:r>
        <w:tab/>
        <w:t>/s/</w:t>
      </w:r>
    </w:p>
    <w:p w14:paraId="0EF30976" w14:textId="77777777" w:rsidR="00ED256C" w:rsidRDefault="00ED256C" w:rsidP="004F0EB5">
      <w:pPr>
        <w:pStyle w:val="BodyText"/>
      </w:pPr>
      <w:r>
        <w:tab/>
      </w:r>
      <w:r>
        <w:tab/>
      </w:r>
      <w:r>
        <w:tab/>
      </w:r>
      <w:r>
        <w:tab/>
      </w:r>
      <w:r>
        <w:tab/>
      </w:r>
      <w:r>
        <w:tab/>
      </w:r>
      <w:r>
        <w:tab/>
        <w:t>___________________________________</w:t>
      </w:r>
    </w:p>
    <w:p w14:paraId="5312CBD6" w14:textId="076632E7" w:rsidR="00ED256C" w:rsidRDefault="00ED256C" w:rsidP="004F0EB5">
      <w:pPr>
        <w:pStyle w:val="BodyText"/>
      </w:pPr>
      <w:r>
        <w:tab/>
      </w:r>
      <w:r>
        <w:tab/>
      </w:r>
      <w:r>
        <w:tab/>
      </w:r>
      <w:r>
        <w:tab/>
      </w:r>
      <w:r>
        <w:tab/>
      </w:r>
      <w:r>
        <w:tab/>
      </w:r>
      <w:r>
        <w:tab/>
        <w:t>Patrick F. Timmons, Jr.</w:t>
      </w:r>
    </w:p>
    <w:p w14:paraId="76BB82CF" w14:textId="560FE1A1" w:rsidR="00ED256C" w:rsidRDefault="00ED256C" w:rsidP="004F0EB5">
      <w:pPr>
        <w:pStyle w:val="BodyText"/>
      </w:pPr>
      <w:r>
        <w:tab/>
      </w:r>
      <w:r>
        <w:tab/>
      </w:r>
      <w:r>
        <w:tab/>
      </w:r>
      <w:r>
        <w:tab/>
      </w:r>
      <w:r>
        <w:tab/>
      </w:r>
      <w:r>
        <w:tab/>
      </w:r>
      <w:r>
        <w:tab/>
        <w:t xml:space="preserve">1503 </w:t>
      </w:r>
      <w:proofErr w:type="spellStart"/>
      <w:r>
        <w:t>Buckmann</w:t>
      </w:r>
      <w:proofErr w:type="spellEnd"/>
      <w:r>
        <w:t xml:space="preserve"> Ct</w:t>
      </w:r>
    </w:p>
    <w:p w14:paraId="3A4FB2AF" w14:textId="2879B685" w:rsidR="00ED256C" w:rsidRDefault="00ED256C" w:rsidP="004F0EB5">
      <w:pPr>
        <w:pStyle w:val="BodyText"/>
      </w:pPr>
      <w:r>
        <w:tab/>
      </w:r>
      <w:r>
        <w:tab/>
      </w:r>
      <w:r>
        <w:tab/>
      </w:r>
      <w:r>
        <w:tab/>
      </w:r>
      <w:r>
        <w:tab/>
      </w:r>
      <w:r>
        <w:tab/>
      </w:r>
      <w:r>
        <w:tab/>
        <w:t>Houston, Texas 77043</w:t>
      </w:r>
    </w:p>
    <w:p w14:paraId="605BC569" w14:textId="070FB969" w:rsidR="00ED256C" w:rsidRDefault="00ED256C" w:rsidP="004F0EB5">
      <w:pPr>
        <w:pStyle w:val="BodyText"/>
      </w:pPr>
      <w:r>
        <w:tab/>
      </w:r>
      <w:r>
        <w:tab/>
      </w:r>
      <w:r>
        <w:tab/>
      </w:r>
      <w:r>
        <w:tab/>
      </w:r>
      <w:r>
        <w:tab/>
      </w:r>
      <w:r>
        <w:tab/>
      </w:r>
      <w:r w:rsidR="00AF4963">
        <w:t xml:space="preserve">             </w:t>
      </w:r>
      <w:r>
        <w:t>o.</w:t>
      </w:r>
      <w:r w:rsidR="00AF4963">
        <w:t xml:space="preserve"> </w:t>
      </w:r>
      <w:r>
        <w:t>(713) 465 7638</w:t>
      </w:r>
    </w:p>
    <w:p w14:paraId="770A2FB8" w14:textId="05040239" w:rsidR="00ED256C" w:rsidRDefault="00ED256C" w:rsidP="004F0EB5">
      <w:pPr>
        <w:pStyle w:val="BodyText"/>
      </w:pPr>
      <w:r>
        <w:tab/>
      </w:r>
      <w:r>
        <w:tab/>
      </w:r>
      <w:r>
        <w:tab/>
      </w:r>
      <w:r>
        <w:tab/>
      </w:r>
      <w:r>
        <w:tab/>
      </w:r>
      <w:r>
        <w:tab/>
      </w:r>
      <w:r>
        <w:tab/>
        <w:t>f. (713) 465 9527</w:t>
      </w:r>
    </w:p>
    <w:p w14:paraId="7F64B2F2" w14:textId="286CEAB3" w:rsidR="00ED256C" w:rsidRDefault="00ED256C" w:rsidP="004F0EB5">
      <w:pPr>
        <w:pStyle w:val="BodyText"/>
      </w:pPr>
      <w:r>
        <w:tab/>
      </w:r>
      <w:r>
        <w:tab/>
      </w:r>
      <w:r>
        <w:tab/>
      </w:r>
      <w:r>
        <w:tab/>
      </w:r>
      <w:r>
        <w:tab/>
      </w:r>
      <w:r>
        <w:tab/>
      </w:r>
      <w:r>
        <w:tab/>
      </w:r>
      <w:hyperlink r:id="rId5" w:history="1">
        <w:r w:rsidRPr="00DD220A">
          <w:rPr>
            <w:rStyle w:val="Hyperlink"/>
          </w:rPr>
          <w:t>pft@timmonslawfirm.com</w:t>
        </w:r>
      </w:hyperlink>
    </w:p>
    <w:p w14:paraId="7B6C5D3E" w14:textId="66BF027F" w:rsidR="007161F0" w:rsidRDefault="00ED256C" w:rsidP="000562DD">
      <w:r>
        <w:tab/>
      </w:r>
    </w:p>
    <w:p w14:paraId="2744E4AF" w14:textId="4B80F2BB" w:rsidR="00ED256C" w:rsidRPr="004F0EB5" w:rsidRDefault="00ED256C" w:rsidP="004F0EB5">
      <w:pPr>
        <w:pStyle w:val="BodyText"/>
        <w:rPr>
          <w:u w:val="single"/>
        </w:rPr>
      </w:pPr>
      <w:r>
        <w:tab/>
      </w:r>
      <w:r>
        <w:tab/>
      </w:r>
      <w:r>
        <w:tab/>
      </w:r>
      <w:r>
        <w:tab/>
      </w:r>
      <w:r>
        <w:tab/>
      </w:r>
      <w:r w:rsidRPr="004F0EB5">
        <w:rPr>
          <w:u w:val="single"/>
        </w:rPr>
        <w:t>Certificate of Service</w:t>
      </w:r>
    </w:p>
    <w:p w14:paraId="2CECC14F" w14:textId="77777777" w:rsidR="004F0EB5" w:rsidRDefault="004F0EB5" w:rsidP="004F0EB5">
      <w:pPr>
        <w:pStyle w:val="BodyText"/>
      </w:pPr>
    </w:p>
    <w:p w14:paraId="3C0CA34B" w14:textId="0F36398D" w:rsidR="00ED256C" w:rsidRDefault="00ED256C" w:rsidP="004F0EB5">
      <w:pPr>
        <w:pStyle w:val="BodyText"/>
      </w:pPr>
      <w:r w:rsidRPr="00ED256C">
        <w:tab/>
        <w:t>I hereby</w:t>
      </w:r>
      <w:r>
        <w:t xml:space="preserve"> certify that a true copy of the foregoing </w:t>
      </w:r>
      <w:r w:rsidR="004F0EB5">
        <w:t>Request for Information</w:t>
      </w:r>
      <w:r>
        <w:t xml:space="preserve"> was served on the </w:t>
      </w:r>
      <w:r w:rsidR="004F0EB5">
        <w:t xml:space="preserve">addressees shown above </w:t>
      </w:r>
      <w:r>
        <w:t xml:space="preserve">and the </w:t>
      </w:r>
      <w:r w:rsidR="004F0EB5">
        <w:t xml:space="preserve">Texas </w:t>
      </w:r>
      <w:r>
        <w:t xml:space="preserve">PUC staff on this </w:t>
      </w:r>
      <w:r w:rsidR="00D35C81">
        <w:t>2</w:t>
      </w:r>
      <w:r w:rsidR="00DA4708">
        <w:t>5</w:t>
      </w:r>
      <w:r w:rsidR="004F0EB5">
        <w:t>th</w:t>
      </w:r>
      <w:r>
        <w:t xml:space="preserve"> day of </w:t>
      </w:r>
      <w:r w:rsidR="00D35C81">
        <w:t>March</w:t>
      </w:r>
      <w:r w:rsidR="00DA4708">
        <w:t>,</w:t>
      </w:r>
      <w:r>
        <w:t xml:space="preserve"> 20</w:t>
      </w:r>
      <w:r w:rsidR="00DA4708">
        <w:t>2</w:t>
      </w:r>
      <w:r w:rsidR="00D35C81">
        <w:t>2</w:t>
      </w:r>
      <w:r>
        <w:t xml:space="preserve">, </w:t>
      </w:r>
      <w:r w:rsidR="00DA2A12">
        <w:t>as provided b</w:t>
      </w:r>
      <w:r w:rsidR="00DA5BFF">
        <w:t xml:space="preserve">y </w:t>
      </w:r>
      <w:r w:rsidR="00F62127">
        <w:t>16</w:t>
      </w:r>
      <w:r w:rsidR="00DA2A12">
        <w:t xml:space="preserve"> TAC Section 22.74.</w:t>
      </w:r>
    </w:p>
    <w:p w14:paraId="04B44EBB" w14:textId="4F7924B9" w:rsidR="00DA2A12" w:rsidRDefault="00D35C81" w:rsidP="004F0EB5">
      <w:pPr>
        <w:pStyle w:val="BodyText"/>
      </w:pPr>
      <w:r>
        <w:tab/>
      </w:r>
      <w:r>
        <w:tab/>
      </w:r>
      <w:r>
        <w:tab/>
      </w:r>
      <w:r>
        <w:tab/>
      </w:r>
      <w:r>
        <w:tab/>
      </w:r>
      <w:r>
        <w:tab/>
      </w:r>
      <w:r>
        <w:tab/>
      </w:r>
    </w:p>
    <w:p w14:paraId="7582C025" w14:textId="2624A2E9" w:rsidR="00D35C81" w:rsidRDefault="00D35C81" w:rsidP="004F0EB5">
      <w:pPr>
        <w:pStyle w:val="BodyText"/>
      </w:pPr>
      <w:r>
        <w:tab/>
      </w:r>
      <w:r>
        <w:tab/>
      </w:r>
      <w:r>
        <w:tab/>
      </w:r>
      <w:r>
        <w:tab/>
      </w:r>
      <w:r>
        <w:tab/>
      </w:r>
      <w:r>
        <w:tab/>
      </w:r>
      <w:r>
        <w:tab/>
      </w:r>
    </w:p>
    <w:p w14:paraId="6BEC5933" w14:textId="72330479" w:rsidR="004F0EB5" w:rsidRDefault="00D35C81" w:rsidP="004F0EB5">
      <w:pPr>
        <w:pStyle w:val="BodyText"/>
      </w:pPr>
      <w:r>
        <w:tab/>
      </w:r>
      <w:r>
        <w:tab/>
      </w:r>
      <w:r>
        <w:tab/>
      </w:r>
      <w:r>
        <w:tab/>
      </w:r>
      <w:r>
        <w:tab/>
      </w:r>
      <w:r>
        <w:tab/>
      </w:r>
      <w:r>
        <w:tab/>
        <w:t>/s/</w:t>
      </w:r>
    </w:p>
    <w:p w14:paraId="08A6F087" w14:textId="7B3FFFB2" w:rsidR="00ED256C" w:rsidRDefault="00DA2A12" w:rsidP="004F0EB5">
      <w:pPr>
        <w:pStyle w:val="BodyText"/>
      </w:pPr>
      <w:r>
        <w:tab/>
      </w:r>
      <w:r>
        <w:tab/>
      </w:r>
      <w:r>
        <w:tab/>
      </w:r>
      <w:r>
        <w:tab/>
      </w:r>
      <w:r>
        <w:tab/>
      </w:r>
      <w:r>
        <w:tab/>
      </w:r>
      <w:r>
        <w:tab/>
        <w:t>___________________________________</w:t>
      </w:r>
    </w:p>
    <w:p w14:paraId="1ECA7357" w14:textId="5599D85A" w:rsidR="00ED256C" w:rsidRDefault="00ED256C" w:rsidP="004F0EB5">
      <w:pPr>
        <w:pStyle w:val="BodyText"/>
      </w:pPr>
      <w:r>
        <w:tab/>
      </w:r>
      <w:r>
        <w:tab/>
      </w:r>
      <w:r>
        <w:tab/>
      </w:r>
      <w:r>
        <w:tab/>
      </w:r>
      <w:r>
        <w:tab/>
      </w:r>
      <w:r>
        <w:tab/>
      </w:r>
      <w:r>
        <w:tab/>
      </w:r>
      <w:r w:rsidR="004F0EB5">
        <w:tab/>
        <w:t>Patrick F. Timmons, Jr.</w:t>
      </w:r>
    </w:p>
    <w:p w14:paraId="3F9816C5" w14:textId="1A28EDAA" w:rsidR="000562DD" w:rsidRDefault="00ED256C" w:rsidP="000562DD">
      <w:r>
        <w:tab/>
      </w:r>
      <w:r>
        <w:tab/>
      </w:r>
      <w:r>
        <w:tab/>
      </w:r>
      <w:r>
        <w:tab/>
      </w:r>
      <w:r>
        <w:tab/>
        <w:t xml:space="preserve">                      </w:t>
      </w:r>
      <w:r w:rsidR="000562DD">
        <w:tab/>
      </w:r>
      <w:r w:rsidR="000562DD">
        <w:tab/>
      </w:r>
      <w:r w:rsidR="000562DD">
        <w:tab/>
      </w:r>
      <w:r w:rsidR="000562DD">
        <w:tab/>
      </w:r>
      <w:r w:rsidR="000562DD">
        <w:tab/>
      </w:r>
      <w:r w:rsidR="000562DD">
        <w:tab/>
      </w:r>
      <w:r w:rsidR="000562DD">
        <w:tab/>
      </w:r>
      <w:r w:rsidR="000562DD">
        <w:tab/>
      </w:r>
    </w:p>
    <w:p w14:paraId="76963CF0" w14:textId="6E744CB9" w:rsidR="000562DD" w:rsidRPr="00CB7419" w:rsidRDefault="000562DD" w:rsidP="000562DD">
      <w:r>
        <w:tab/>
      </w:r>
      <w:r>
        <w:tab/>
      </w:r>
      <w:r>
        <w:tab/>
      </w:r>
      <w:r>
        <w:tab/>
      </w:r>
      <w:r>
        <w:tab/>
      </w:r>
      <w:r>
        <w:tab/>
      </w:r>
      <w:r>
        <w:tab/>
      </w:r>
      <w:r>
        <w:tab/>
      </w:r>
    </w:p>
    <w:sectPr w:rsidR="000562DD" w:rsidRPr="00CB74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27E0B"/>
    <w:multiLevelType w:val="hybridMultilevel"/>
    <w:tmpl w:val="98B8579A"/>
    <w:lvl w:ilvl="0" w:tplc="BF5E3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F309B"/>
    <w:multiLevelType w:val="hybridMultilevel"/>
    <w:tmpl w:val="DF704A5A"/>
    <w:lvl w:ilvl="0" w:tplc="DAC699DA">
      <w:start w:val="1"/>
      <w:numFmt w:val="decimal"/>
      <w:lvlText w:val="%1."/>
      <w:lvlJc w:val="left"/>
      <w:pPr>
        <w:ind w:left="1736" w:hanging="323"/>
      </w:pPr>
      <w:rPr>
        <w:w w:val="108"/>
      </w:rPr>
    </w:lvl>
    <w:lvl w:ilvl="1" w:tplc="CBA2883C">
      <w:numFmt w:val="bullet"/>
      <w:lvlText w:val="•"/>
      <w:lvlJc w:val="left"/>
      <w:pPr>
        <w:ind w:left="2594" w:hanging="323"/>
      </w:pPr>
    </w:lvl>
    <w:lvl w:ilvl="2" w:tplc="DD1ABCFA">
      <w:numFmt w:val="bullet"/>
      <w:lvlText w:val="•"/>
      <w:lvlJc w:val="left"/>
      <w:pPr>
        <w:ind w:left="3448" w:hanging="323"/>
      </w:pPr>
    </w:lvl>
    <w:lvl w:ilvl="3" w:tplc="564272B6">
      <w:numFmt w:val="bullet"/>
      <w:lvlText w:val="•"/>
      <w:lvlJc w:val="left"/>
      <w:pPr>
        <w:ind w:left="4302" w:hanging="323"/>
      </w:pPr>
    </w:lvl>
    <w:lvl w:ilvl="4" w:tplc="36969C38">
      <w:numFmt w:val="bullet"/>
      <w:lvlText w:val="•"/>
      <w:lvlJc w:val="left"/>
      <w:pPr>
        <w:ind w:left="5156" w:hanging="323"/>
      </w:pPr>
    </w:lvl>
    <w:lvl w:ilvl="5" w:tplc="84088C06">
      <w:numFmt w:val="bullet"/>
      <w:lvlText w:val="•"/>
      <w:lvlJc w:val="left"/>
      <w:pPr>
        <w:ind w:left="6010" w:hanging="323"/>
      </w:pPr>
    </w:lvl>
    <w:lvl w:ilvl="6" w:tplc="6DF8236E">
      <w:numFmt w:val="bullet"/>
      <w:lvlText w:val="•"/>
      <w:lvlJc w:val="left"/>
      <w:pPr>
        <w:ind w:left="6864" w:hanging="323"/>
      </w:pPr>
    </w:lvl>
    <w:lvl w:ilvl="7" w:tplc="B740BB4A">
      <w:numFmt w:val="bullet"/>
      <w:lvlText w:val="•"/>
      <w:lvlJc w:val="left"/>
      <w:pPr>
        <w:ind w:left="7718" w:hanging="323"/>
      </w:pPr>
    </w:lvl>
    <w:lvl w:ilvl="8" w:tplc="76C25280">
      <w:numFmt w:val="bullet"/>
      <w:lvlText w:val="•"/>
      <w:lvlJc w:val="left"/>
      <w:pPr>
        <w:ind w:left="8572" w:hanging="323"/>
      </w:pPr>
    </w:lvl>
  </w:abstractNum>
  <w:abstractNum w:abstractNumId="2" w15:restartNumberingAfterBreak="0">
    <w:nsid w:val="31CF0FC6"/>
    <w:multiLevelType w:val="hybridMultilevel"/>
    <w:tmpl w:val="B38EBB7C"/>
    <w:lvl w:ilvl="0" w:tplc="94F87096">
      <w:start w:val="1"/>
      <w:numFmt w:val="upperRoman"/>
      <w:lvlText w:val="%1."/>
      <w:lvlJc w:val="left"/>
      <w:pPr>
        <w:ind w:left="5040" w:hanging="72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 w15:restartNumberingAfterBreak="0">
    <w:nsid w:val="35792EDD"/>
    <w:multiLevelType w:val="hybridMultilevel"/>
    <w:tmpl w:val="BD6E9DBC"/>
    <w:lvl w:ilvl="0" w:tplc="791EDD20">
      <w:start w:val="1"/>
      <w:numFmt w:val="upperRoman"/>
      <w:lvlText w:val="%1."/>
      <w:lvlJc w:val="left"/>
      <w:pPr>
        <w:ind w:left="5040" w:hanging="720"/>
      </w:pPr>
      <w:rPr>
        <w:rFonts w:hint="default"/>
        <w:color w:val="232323"/>
        <w:w w:val="100"/>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40E26D81"/>
    <w:multiLevelType w:val="hybridMultilevel"/>
    <w:tmpl w:val="8806F98E"/>
    <w:lvl w:ilvl="0" w:tplc="FB06AD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F41491A"/>
    <w:multiLevelType w:val="hybridMultilevel"/>
    <w:tmpl w:val="3228700C"/>
    <w:lvl w:ilvl="0" w:tplc="0F4C5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5EB0B55"/>
    <w:multiLevelType w:val="hybridMultilevel"/>
    <w:tmpl w:val="6A0CD440"/>
    <w:lvl w:ilvl="0" w:tplc="4D262FD6">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6"/>
  </w:num>
  <w:num w:numId="5">
    <w:abstractNumId w:val="5"/>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419"/>
    <w:rsid w:val="0004216D"/>
    <w:rsid w:val="000562DD"/>
    <w:rsid w:val="00144192"/>
    <w:rsid w:val="0017560E"/>
    <w:rsid w:val="001E2B34"/>
    <w:rsid w:val="002B43E1"/>
    <w:rsid w:val="003C78FA"/>
    <w:rsid w:val="003D6AB3"/>
    <w:rsid w:val="003E1CD8"/>
    <w:rsid w:val="00410DF6"/>
    <w:rsid w:val="004814D2"/>
    <w:rsid w:val="004A137E"/>
    <w:rsid w:val="004F0EB5"/>
    <w:rsid w:val="00504364"/>
    <w:rsid w:val="0056097B"/>
    <w:rsid w:val="00561B50"/>
    <w:rsid w:val="005830DB"/>
    <w:rsid w:val="006032B9"/>
    <w:rsid w:val="00653C90"/>
    <w:rsid w:val="006A0288"/>
    <w:rsid w:val="00700062"/>
    <w:rsid w:val="007161F0"/>
    <w:rsid w:val="00720972"/>
    <w:rsid w:val="00821BCB"/>
    <w:rsid w:val="008632F0"/>
    <w:rsid w:val="00892EC7"/>
    <w:rsid w:val="008B3AF4"/>
    <w:rsid w:val="00945344"/>
    <w:rsid w:val="009C23FD"/>
    <w:rsid w:val="00A71B38"/>
    <w:rsid w:val="00A739A3"/>
    <w:rsid w:val="00A771BB"/>
    <w:rsid w:val="00AC5850"/>
    <w:rsid w:val="00AF4963"/>
    <w:rsid w:val="00B5772F"/>
    <w:rsid w:val="00BB271B"/>
    <w:rsid w:val="00C300F4"/>
    <w:rsid w:val="00C755F6"/>
    <w:rsid w:val="00C779A2"/>
    <w:rsid w:val="00CB7419"/>
    <w:rsid w:val="00D35C81"/>
    <w:rsid w:val="00D77A27"/>
    <w:rsid w:val="00D90583"/>
    <w:rsid w:val="00DA2A12"/>
    <w:rsid w:val="00DA4708"/>
    <w:rsid w:val="00DA5BFF"/>
    <w:rsid w:val="00DB20E2"/>
    <w:rsid w:val="00DE696C"/>
    <w:rsid w:val="00E12944"/>
    <w:rsid w:val="00EA0E78"/>
    <w:rsid w:val="00EC52B6"/>
    <w:rsid w:val="00ED256C"/>
    <w:rsid w:val="00F12904"/>
    <w:rsid w:val="00F62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5295"/>
  <w15:chartTrackingRefBased/>
  <w15:docId w15:val="{B64370CC-B0A9-4936-A960-3A94F803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562DD"/>
    <w:pPr>
      <w:ind w:left="720"/>
      <w:contextualSpacing/>
    </w:pPr>
  </w:style>
  <w:style w:type="character" w:styleId="Hyperlink">
    <w:name w:val="Hyperlink"/>
    <w:basedOn w:val="DefaultParagraphFont"/>
    <w:uiPriority w:val="99"/>
    <w:unhideWhenUsed/>
    <w:rsid w:val="00ED256C"/>
    <w:rPr>
      <w:color w:val="0563C1" w:themeColor="hyperlink"/>
      <w:u w:val="single"/>
    </w:rPr>
  </w:style>
  <w:style w:type="character" w:styleId="UnresolvedMention">
    <w:name w:val="Unresolved Mention"/>
    <w:basedOn w:val="DefaultParagraphFont"/>
    <w:uiPriority w:val="99"/>
    <w:semiHidden/>
    <w:unhideWhenUsed/>
    <w:rsid w:val="00ED256C"/>
    <w:rPr>
      <w:color w:val="605E5C"/>
      <w:shd w:val="clear" w:color="auto" w:fill="E1DFDD"/>
    </w:rPr>
  </w:style>
  <w:style w:type="paragraph" w:styleId="BodyText">
    <w:name w:val="Body Text"/>
    <w:basedOn w:val="Normal"/>
    <w:link w:val="BodyTextChar"/>
    <w:uiPriority w:val="1"/>
    <w:qFormat/>
    <w:rsid w:val="00720972"/>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72097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ft@timmonslawfir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Timmons</dc:creator>
  <cp:keywords/>
  <dc:description/>
  <cp:lastModifiedBy>Patrick Timmons</cp:lastModifiedBy>
  <cp:revision>5</cp:revision>
  <dcterms:created xsi:type="dcterms:W3CDTF">2022-03-30T14:36:00Z</dcterms:created>
  <dcterms:modified xsi:type="dcterms:W3CDTF">2022-03-30T14:54:00Z</dcterms:modified>
</cp:coreProperties>
</file>